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9"/>
        <w:gridCol w:w="8016"/>
      </w:tblGrid>
      <w:tr w:rsidR="008821E2" w:rsidRPr="008821E2" w:rsidTr="005003CE">
        <w:trPr>
          <w:trHeight w:val="979"/>
        </w:trPr>
        <w:tc>
          <w:tcPr>
            <w:tcW w:w="1959" w:type="dxa"/>
          </w:tcPr>
          <w:p w:rsidR="008821E2" w:rsidRPr="008821E2" w:rsidRDefault="008821E2" w:rsidP="005003CE">
            <w:pPr>
              <w:rPr>
                <w:highlight w:val="black"/>
              </w:rPr>
            </w:pPr>
            <w:r w:rsidRPr="008821E2">
              <w:rPr>
                <w:noProof/>
                <w:highlight w:val="black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-419100</wp:posOffset>
                  </wp:positionV>
                  <wp:extent cx="1293495" cy="1219200"/>
                  <wp:effectExtent l="0" t="0" r="1905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500" t="26344" r="9210" b="8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6" w:type="dxa"/>
          </w:tcPr>
          <w:p w:rsidR="008821E2" w:rsidRPr="008821E2" w:rsidRDefault="008821E2" w:rsidP="005003CE">
            <w:pPr>
              <w:pStyle w:val="Header"/>
              <w:rPr>
                <w:b/>
                <w:color w:val="FFFFFF" w:themeColor="background1"/>
                <w:sz w:val="48"/>
                <w:szCs w:val="36"/>
                <w:highlight w:val="black"/>
              </w:rPr>
            </w:pPr>
            <w:r w:rsidRPr="008821E2">
              <w:rPr>
                <w:b/>
                <w:color w:val="FFFFFF" w:themeColor="background1"/>
                <w:sz w:val="48"/>
                <w:szCs w:val="36"/>
                <w:highlight w:val="black"/>
              </w:rPr>
              <w:t xml:space="preserve">Khyber Medical University </w:t>
            </w:r>
          </w:p>
          <w:p w:rsidR="008821E2" w:rsidRPr="008821E2" w:rsidRDefault="008821E2" w:rsidP="005003CE">
            <w:pPr>
              <w:pStyle w:val="Header"/>
              <w:rPr>
                <w:b/>
                <w:color w:val="FFFFFF" w:themeColor="background1"/>
                <w:sz w:val="18"/>
                <w:szCs w:val="16"/>
                <w:highlight w:val="black"/>
              </w:rPr>
            </w:pPr>
            <w:r w:rsidRPr="008821E2">
              <w:rPr>
                <w:color w:val="FFFFFF" w:themeColor="background1"/>
                <w:sz w:val="24"/>
                <w:szCs w:val="20"/>
                <w:highlight w:val="black"/>
              </w:rPr>
              <w:t>Committed to Excellence in Academic &amp; Research</w:t>
            </w:r>
          </w:p>
          <w:p w:rsidR="008821E2" w:rsidRPr="008821E2" w:rsidRDefault="008821E2" w:rsidP="005003CE">
            <w:pPr>
              <w:pStyle w:val="Header"/>
              <w:rPr>
                <w:b/>
                <w:sz w:val="18"/>
                <w:szCs w:val="16"/>
                <w:highlight w:val="black"/>
              </w:rPr>
            </w:pPr>
          </w:p>
        </w:tc>
      </w:tr>
    </w:tbl>
    <w:p w:rsidR="00317BD4" w:rsidRDefault="00317BD4" w:rsidP="008821E2">
      <w:pPr>
        <w:spacing w:line="240" w:lineRule="auto"/>
        <w:ind w:firstLine="720"/>
        <w:rPr>
          <w:b/>
          <w:sz w:val="126"/>
        </w:rPr>
      </w:pPr>
      <w:r w:rsidRPr="00317BD4">
        <w:rPr>
          <w:b/>
          <w:sz w:val="54"/>
        </w:rPr>
        <w:t>(</w:t>
      </w:r>
      <w:r>
        <w:rPr>
          <w:b/>
          <w:sz w:val="60"/>
        </w:rPr>
        <w:t>S</w:t>
      </w:r>
      <w:r w:rsidRPr="00317BD4">
        <w:rPr>
          <w:b/>
          <w:sz w:val="60"/>
        </w:rPr>
        <w:t>ingle stage Single envelop</w:t>
      </w:r>
      <w:r w:rsidRPr="00317BD4">
        <w:rPr>
          <w:b/>
          <w:sz w:val="54"/>
        </w:rPr>
        <w:t>)</w:t>
      </w:r>
    </w:p>
    <w:p w:rsidR="00FC5A19" w:rsidRPr="004A7155" w:rsidRDefault="00C71F1C" w:rsidP="004A7155">
      <w:pPr>
        <w:spacing w:line="240" w:lineRule="auto"/>
        <w:jc w:val="both"/>
        <w:rPr>
          <w:sz w:val="24"/>
        </w:rPr>
      </w:pPr>
      <w:r>
        <w:rPr>
          <w:sz w:val="20"/>
        </w:rPr>
        <w:t xml:space="preserve">The Employer/ purchaser, </w:t>
      </w:r>
      <w:r w:rsidR="00FC5A19" w:rsidRPr="00E5398A">
        <w:rPr>
          <w:sz w:val="20"/>
        </w:rPr>
        <w:t>Khyber Medical University</w:t>
      </w:r>
      <w:r w:rsidR="00317BD4" w:rsidRPr="00E5398A">
        <w:rPr>
          <w:sz w:val="20"/>
        </w:rPr>
        <w:t xml:space="preserve">, Peshawar invites sealed Bids </w:t>
      </w:r>
      <w:r w:rsidR="006028CB">
        <w:rPr>
          <w:sz w:val="20"/>
        </w:rPr>
        <w:t xml:space="preserve">based on MRS 2017 on percentage rates above/below/at par from contractors registered with Pakistan Engineering Council (PEC) in appropriate category, enlisted with    works department who has renewed their registration for the year 2018-19 and also must required to be </w:t>
      </w:r>
      <w:r w:rsidR="0044302F">
        <w:rPr>
          <w:sz w:val="20"/>
        </w:rPr>
        <w:t>registered</w:t>
      </w:r>
      <w:r w:rsidR="006028CB">
        <w:rPr>
          <w:sz w:val="20"/>
        </w:rPr>
        <w:t xml:space="preserve"> with Khyber Pakhtunkhwa Revenue Authority</w:t>
      </w:r>
      <w:r w:rsidR="0044302F">
        <w:rPr>
          <w:sz w:val="20"/>
        </w:rPr>
        <w:t xml:space="preserve"> under the Khyber Pakhtunkhwa Finance Act, 2013 (KP Act No XXI of 2013) for works consulting and non consulting services as listed in schedule-II of the Act ibid. </w:t>
      </w:r>
      <w:r>
        <w:rPr>
          <w:sz w:val="20"/>
        </w:rPr>
        <w:t>Details are as under.</w:t>
      </w:r>
      <w:r w:rsidR="003823E8">
        <w:rPr>
          <w:sz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427"/>
        <w:gridCol w:w="2381"/>
        <w:gridCol w:w="1080"/>
        <w:gridCol w:w="990"/>
        <w:gridCol w:w="1620"/>
        <w:gridCol w:w="1710"/>
      </w:tblGrid>
      <w:tr w:rsidR="0044302F" w:rsidTr="0044302F">
        <w:tc>
          <w:tcPr>
            <w:tcW w:w="427" w:type="dxa"/>
          </w:tcPr>
          <w:p w:rsidR="0044302F" w:rsidRPr="00E5398A" w:rsidRDefault="0044302F" w:rsidP="003823E8">
            <w:pPr>
              <w:rPr>
                <w:sz w:val="20"/>
              </w:rPr>
            </w:pPr>
            <w:r w:rsidRPr="00E5398A">
              <w:rPr>
                <w:sz w:val="20"/>
              </w:rPr>
              <w:t>S#</w:t>
            </w:r>
          </w:p>
        </w:tc>
        <w:tc>
          <w:tcPr>
            <w:tcW w:w="2381" w:type="dxa"/>
          </w:tcPr>
          <w:p w:rsidR="0044302F" w:rsidRPr="00E5398A" w:rsidRDefault="0044302F" w:rsidP="003823E8">
            <w:pPr>
              <w:rPr>
                <w:sz w:val="20"/>
              </w:rPr>
            </w:pPr>
            <w:r w:rsidRPr="00E5398A">
              <w:rPr>
                <w:sz w:val="20"/>
              </w:rPr>
              <w:t>Name of work</w:t>
            </w:r>
          </w:p>
        </w:tc>
        <w:tc>
          <w:tcPr>
            <w:tcW w:w="1080" w:type="dxa"/>
          </w:tcPr>
          <w:p w:rsidR="0044302F" w:rsidRPr="00E5398A" w:rsidRDefault="0044302F" w:rsidP="003823E8">
            <w:pPr>
              <w:rPr>
                <w:sz w:val="20"/>
              </w:rPr>
            </w:pPr>
            <w:r>
              <w:rPr>
                <w:sz w:val="20"/>
              </w:rPr>
              <w:t>Estimated Cost  Rs.</w:t>
            </w:r>
          </w:p>
        </w:tc>
        <w:tc>
          <w:tcPr>
            <w:tcW w:w="990" w:type="dxa"/>
          </w:tcPr>
          <w:p w:rsidR="0044302F" w:rsidRPr="00E5398A" w:rsidRDefault="0044302F" w:rsidP="003823E8">
            <w:pPr>
              <w:rPr>
                <w:sz w:val="20"/>
              </w:rPr>
            </w:pPr>
            <w:r w:rsidRPr="00E5398A">
              <w:rPr>
                <w:sz w:val="20"/>
              </w:rPr>
              <w:t>Bid Security</w:t>
            </w:r>
          </w:p>
        </w:tc>
        <w:tc>
          <w:tcPr>
            <w:tcW w:w="1620" w:type="dxa"/>
          </w:tcPr>
          <w:p w:rsidR="0044302F" w:rsidRPr="00E5398A" w:rsidRDefault="0044302F" w:rsidP="003823E8">
            <w:pPr>
              <w:rPr>
                <w:sz w:val="20"/>
              </w:rPr>
            </w:pPr>
            <w:r>
              <w:rPr>
                <w:sz w:val="20"/>
              </w:rPr>
              <w:t xml:space="preserve">Bid </w:t>
            </w:r>
            <w:r w:rsidRPr="00E5398A">
              <w:rPr>
                <w:sz w:val="20"/>
              </w:rPr>
              <w:t xml:space="preserve"> Submission </w:t>
            </w:r>
            <w:r>
              <w:rPr>
                <w:sz w:val="20"/>
              </w:rPr>
              <w:t xml:space="preserve"> date </w:t>
            </w:r>
            <w:r w:rsidRPr="00E5398A">
              <w:rPr>
                <w:sz w:val="20"/>
              </w:rPr>
              <w:t>and Time</w:t>
            </w:r>
          </w:p>
        </w:tc>
        <w:tc>
          <w:tcPr>
            <w:tcW w:w="1710" w:type="dxa"/>
          </w:tcPr>
          <w:p w:rsidR="0044302F" w:rsidRPr="00E5398A" w:rsidRDefault="0044302F" w:rsidP="003823E8">
            <w:pPr>
              <w:rPr>
                <w:sz w:val="20"/>
              </w:rPr>
            </w:pPr>
            <w:r w:rsidRPr="00E5398A">
              <w:rPr>
                <w:sz w:val="20"/>
              </w:rPr>
              <w:t>Date of Opening and Time</w:t>
            </w:r>
          </w:p>
        </w:tc>
      </w:tr>
      <w:tr w:rsidR="0044302F" w:rsidTr="0044302F">
        <w:tc>
          <w:tcPr>
            <w:tcW w:w="427" w:type="dxa"/>
          </w:tcPr>
          <w:p w:rsidR="0044302F" w:rsidRPr="00E5398A" w:rsidRDefault="0044302F" w:rsidP="003823E8">
            <w:pPr>
              <w:rPr>
                <w:sz w:val="20"/>
              </w:rPr>
            </w:pPr>
            <w:r w:rsidRPr="00E5398A">
              <w:rPr>
                <w:sz w:val="20"/>
              </w:rPr>
              <w:t>1</w:t>
            </w:r>
          </w:p>
        </w:tc>
        <w:tc>
          <w:tcPr>
            <w:tcW w:w="2381" w:type="dxa"/>
          </w:tcPr>
          <w:p w:rsidR="0044302F" w:rsidRPr="00E5398A" w:rsidRDefault="0044302F" w:rsidP="0044302F">
            <w:pPr>
              <w:rPr>
                <w:sz w:val="20"/>
              </w:rPr>
            </w:pPr>
            <w:r>
              <w:rPr>
                <w:sz w:val="20"/>
              </w:rPr>
              <w:t>Partition work of Aluminum at  06 rooms of IPH&amp;SS Academic block and Library of KMU, Peshawar</w:t>
            </w:r>
          </w:p>
        </w:tc>
        <w:tc>
          <w:tcPr>
            <w:tcW w:w="1080" w:type="dxa"/>
          </w:tcPr>
          <w:p w:rsidR="0044302F" w:rsidRDefault="0044302F" w:rsidP="003823E8">
            <w:pPr>
              <w:rPr>
                <w:sz w:val="20"/>
              </w:rPr>
            </w:pPr>
            <w:r>
              <w:rPr>
                <w:sz w:val="20"/>
              </w:rPr>
              <w:t>1824000/-</w:t>
            </w:r>
          </w:p>
        </w:tc>
        <w:tc>
          <w:tcPr>
            <w:tcW w:w="990" w:type="dxa"/>
          </w:tcPr>
          <w:p w:rsidR="0044302F" w:rsidRPr="00E5398A" w:rsidRDefault="0044302F" w:rsidP="003823E8">
            <w:pPr>
              <w:rPr>
                <w:sz w:val="20"/>
              </w:rPr>
            </w:pPr>
            <w:r>
              <w:rPr>
                <w:sz w:val="20"/>
              </w:rPr>
              <w:t>2% of the bid cost</w:t>
            </w:r>
          </w:p>
        </w:tc>
        <w:tc>
          <w:tcPr>
            <w:tcW w:w="1620" w:type="dxa"/>
          </w:tcPr>
          <w:p w:rsidR="0044302F" w:rsidRPr="00E5398A" w:rsidRDefault="00A35AE5" w:rsidP="00A35AE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44302F">
              <w:rPr>
                <w:sz w:val="20"/>
              </w:rPr>
              <w:t>-</w:t>
            </w:r>
            <w:r>
              <w:rPr>
                <w:sz w:val="20"/>
              </w:rPr>
              <w:t>12-2018 at 10:0</w:t>
            </w:r>
            <w:r w:rsidR="0044302F">
              <w:rPr>
                <w:sz w:val="20"/>
              </w:rPr>
              <w:t>0 am</w:t>
            </w:r>
          </w:p>
        </w:tc>
        <w:tc>
          <w:tcPr>
            <w:tcW w:w="1710" w:type="dxa"/>
          </w:tcPr>
          <w:p w:rsidR="0044302F" w:rsidRPr="00E5398A" w:rsidRDefault="00A35AE5" w:rsidP="00CE69D8">
            <w:pPr>
              <w:rPr>
                <w:sz w:val="20"/>
              </w:rPr>
            </w:pPr>
            <w:r>
              <w:rPr>
                <w:sz w:val="20"/>
              </w:rPr>
              <w:t>19-12-2018 at 10:30 am</w:t>
            </w:r>
          </w:p>
        </w:tc>
      </w:tr>
      <w:tr w:rsidR="00A35AE5" w:rsidTr="0044302F">
        <w:tc>
          <w:tcPr>
            <w:tcW w:w="427" w:type="dxa"/>
          </w:tcPr>
          <w:p w:rsidR="00A35AE5" w:rsidRPr="00E5398A" w:rsidRDefault="00A35AE5" w:rsidP="003823E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1" w:type="dxa"/>
          </w:tcPr>
          <w:p w:rsidR="00A35AE5" w:rsidRDefault="00A35AE5" w:rsidP="0044302F">
            <w:pPr>
              <w:rPr>
                <w:sz w:val="20"/>
              </w:rPr>
            </w:pPr>
            <w:r>
              <w:rPr>
                <w:sz w:val="20"/>
              </w:rPr>
              <w:t>Repair and maintenance of wash rooms at old IPM&amp;R building KMU, Peshawar</w:t>
            </w:r>
          </w:p>
        </w:tc>
        <w:tc>
          <w:tcPr>
            <w:tcW w:w="1080" w:type="dxa"/>
          </w:tcPr>
          <w:p w:rsidR="00A35AE5" w:rsidRDefault="00A35AE5" w:rsidP="003823E8">
            <w:pPr>
              <w:rPr>
                <w:sz w:val="20"/>
              </w:rPr>
            </w:pPr>
            <w:r>
              <w:rPr>
                <w:sz w:val="20"/>
              </w:rPr>
              <w:t>1035000/-</w:t>
            </w:r>
          </w:p>
        </w:tc>
        <w:tc>
          <w:tcPr>
            <w:tcW w:w="990" w:type="dxa"/>
          </w:tcPr>
          <w:p w:rsidR="00A35AE5" w:rsidRPr="00E5398A" w:rsidRDefault="00A35AE5" w:rsidP="0089271A">
            <w:pPr>
              <w:rPr>
                <w:sz w:val="20"/>
              </w:rPr>
            </w:pPr>
            <w:r>
              <w:rPr>
                <w:sz w:val="20"/>
              </w:rPr>
              <w:t>2% of the bid cost</w:t>
            </w:r>
          </w:p>
        </w:tc>
        <w:tc>
          <w:tcPr>
            <w:tcW w:w="1620" w:type="dxa"/>
          </w:tcPr>
          <w:p w:rsidR="00A35AE5" w:rsidRPr="00E5398A" w:rsidRDefault="00A35AE5" w:rsidP="00A35AE5">
            <w:pPr>
              <w:rPr>
                <w:sz w:val="20"/>
              </w:rPr>
            </w:pPr>
            <w:r>
              <w:rPr>
                <w:sz w:val="20"/>
              </w:rPr>
              <w:t>19-12-2018 at 10:30 am</w:t>
            </w:r>
          </w:p>
        </w:tc>
        <w:tc>
          <w:tcPr>
            <w:tcW w:w="1710" w:type="dxa"/>
          </w:tcPr>
          <w:p w:rsidR="00A35AE5" w:rsidRPr="00E5398A" w:rsidRDefault="00A35AE5" w:rsidP="00A35AE5">
            <w:pPr>
              <w:rPr>
                <w:sz w:val="20"/>
              </w:rPr>
            </w:pPr>
            <w:r>
              <w:rPr>
                <w:sz w:val="20"/>
              </w:rPr>
              <w:t>19-12-2018 at 11:00 am</w:t>
            </w:r>
          </w:p>
        </w:tc>
      </w:tr>
    </w:tbl>
    <w:p w:rsidR="004A7155" w:rsidRDefault="004A7155" w:rsidP="004A7155">
      <w:pPr>
        <w:spacing w:line="240" w:lineRule="auto"/>
        <w:rPr>
          <w:b/>
          <w:u w:val="single"/>
        </w:rPr>
      </w:pPr>
    </w:p>
    <w:p w:rsidR="004A7155" w:rsidRDefault="004A7155" w:rsidP="004A7155">
      <w:pPr>
        <w:spacing w:line="240" w:lineRule="auto"/>
        <w:rPr>
          <w:sz w:val="48"/>
          <w:u w:val="single"/>
        </w:rPr>
      </w:pPr>
      <w:r w:rsidRPr="004A7155">
        <w:rPr>
          <w:b/>
          <w:sz w:val="38"/>
          <w:u w:val="single"/>
        </w:rPr>
        <w:t>Terms and Conditions</w:t>
      </w:r>
      <w:r w:rsidRPr="004A7155">
        <w:rPr>
          <w:sz w:val="48"/>
          <w:u w:val="single"/>
        </w:rPr>
        <w:t>.</w:t>
      </w:r>
    </w:p>
    <w:p w:rsidR="004A7155" w:rsidRDefault="00A35AE5" w:rsidP="004A7155">
      <w:pPr>
        <w:pStyle w:val="ListParagraph"/>
        <w:numPr>
          <w:ilvl w:val="0"/>
          <w:numId w:val="2"/>
        </w:numPr>
        <w:spacing w:line="240" w:lineRule="auto"/>
      </w:pPr>
      <w:r>
        <w:t xml:space="preserve">A complete set of documents </w:t>
      </w:r>
      <w:r w:rsidR="004A7155">
        <w:t xml:space="preserve">can be downloaded </w:t>
      </w:r>
      <w:r w:rsidR="00CE69D8">
        <w:t>from KMU</w:t>
      </w:r>
      <w:r w:rsidR="004A7155">
        <w:t xml:space="preserve"> web site (</w:t>
      </w:r>
      <w:hyperlink r:id="rId8" w:history="1">
        <w:r w:rsidR="00521136" w:rsidRPr="00C92F10">
          <w:rPr>
            <w:rStyle w:val="Hyperlink"/>
          </w:rPr>
          <w:t>www.kmu.edu.pk</w:t>
        </w:r>
      </w:hyperlink>
      <w:r w:rsidR="00521136">
        <w:t>)</w:t>
      </w:r>
      <w:r>
        <w:t xml:space="preserve"> or collect from the office of Deputy Director (Civil), KMU.</w:t>
      </w:r>
    </w:p>
    <w:p w:rsidR="00521136" w:rsidRDefault="00521136" w:rsidP="004A7155">
      <w:pPr>
        <w:pStyle w:val="ListParagraph"/>
        <w:numPr>
          <w:ilvl w:val="0"/>
          <w:numId w:val="2"/>
        </w:numPr>
        <w:spacing w:line="240" w:lineRule="auto"/>
      </w:pPr>
      <w:r>
        <w:t>Original Bid Security in the shape of call deposit in the name of Khyber Medical University shall accompany the bid.</w:t>
      </w:r>
    </w:p>
    <w:p w:rsidR="00521136" w:rsidRDefault="00CE69D8" w:rsidP="004A7155">
      <w:pPr>
        <w:pStyle w:val="ListParagraph"/>
        <w:numPr>
          <w:ilvl w:val="0"/>
          <w:numId w:val="2"/>
        </w:numPr>
        <w:spacing w:line="240" w:lineRule="auto"/>
      </w:pPr>
      <w:r>
        <w:t>Bid</w:t>
      </w:r>
      <w:r w:rsidR="00A35AE5">
        <w:t>s</w:t>
      </w:r>
      <w:r>
        <w:t xml:space="preserve"> will be</w:t>
      </w:r>
      <w:r w:rsidR="00A35AE5">
        <w:t xml:space="preserve"> </w:t>
      </w:r>
      <w:r w:rsidR="009E2DEB">
        <w:t>dropped</w:t>
      </w:r>
      <w:r w:rsidR="00A35AE5">
        <w:t xml:space="preserve"> in tender box and will be</w:t>
      </w:r>
      <w:r>
        <w:t xml:space="preserve"> opened in the office of Treasurer, KMU at given date &amp; time by the purchase committee in the presence of the bidders or their representative</w:t>
      </w:r>
      <w:r w:rsidR="00C029EC">
        <w:t>.</w:t>
      </w:r>
    </w:p>
    <w:p w:rsidR="007D49E0" w:rsidRDefault="007D49E0" w:rsidP="007D49E0">
      <w:pPr>
        <w:pStyle w:val="ListParagraph"/>
      </w:pPr>
    </w:p>
    <w:p w:rsidR="007D49E0" w:rsidRDefault="007D49E0" w:rsidP="007D49E0">
      <w:pPr>
        <w:pStyle w:val="ListParagraph"/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8747"/>
      </w:tblGrid>
      <w:tr w:rsidR="00E23E8A" w:rsidTr="00CE69D8">
        <w:trPr>
          <w:trHeight w:val="656"/>
        </w:trPr>
        <w:tc>
          <w:tcPr>
            <w:tcW w:w="8747" w:type="dxa"/>
          </w:tcPr>
          <w:p w:rsidR="00E23E8A" w:rsidRDefault="00787343" w:rsidP="00112FEA">
            <w:pPr>
              <w:tabs>
                <w:tab w:val="left" w:pos="620"/>
                <w:tab w:val="left" w:pos="1574"/>
              </w:tabs>
              <w:jc w:val="center"/>
              <w:rPr>
                <w:color w:val="EEECE1" w:themeColor="background2"/>
                <w:sz w:val="2"/>
              </w:rPr>
            </w:pPr>
            <w:r w:rsidRPr="00542A3F">
              <w:rPr>
                <w:color w:val="FFFFFF" w:themeColor="background1"/>
                <w:sz w:val="46"/>
                <w:highlight w:val="black"/>
              </w:rPr>
              <w:t>D</w:t>
            </w:r>
            <w:r w:rsidR="00A35AE5" w:rsidRPr="00542A3F">
              <w:rPr>
                <w:color w:val="FFFFFF" w:themeColor="background1"/>
                <w:sz w:val="46"/>
                <w:highlight w:val="black"/>
              </w:rPr>
              <w:t>eputy Director (Civil</w:t>
            </w:r>
            <w:r w:rsidRPr="00542A3F">
              <w:rPr>
                <w:color w:val="FFFFFF" w:themeColor="background1"/>
                <w:sz w:val="46"/>
                <w:highlight w:val="black"/>
              </w:rPr>
              <w:t>)</w:t>
            </w:r>
            <w:r w:rsidR="00112FEA" w:rsidRPr="00542A3F">
              <w:rPr>
                <w:color w:val="FFFFFF" w:themeColor="background1"/>
                <w:sz w:val="46"/>
                <w:highlight w:val="black"/>
              </w:rPr>
              <w:t xml:space="preserve"> KMU, Peshawar</w:t>
            </w:r>
            <w:r w:rsidR="00C7143B" w:rsidRPr="00542A3F">
              <w:rPr>
                <w:sz w:val="46"/>
                <w:highlight w:val="black"/>
              </w:rPr>
              <w:t>)</w:t>
            </w:r>
            <w:r w:rsidR="00C7143B" w:rsidRPr="00542A3F">
              <w:rPr>
                <w:color w:val="FFFFFF" w:themeColor="background1"/>
                <w:sz w:val="2"/>
                <w:highlight w:val="black"/>
              </w:rPr>
              <w:t>)</w:t>
            </w:r>
          </w:p>
          <w:p w:rsidR="00542A3F" w:rsidRPr="00542A3F" w:rsidRDefault="00542A3F" w:rsidP="00112FEA">
            <w:pPr>
              <w:tabs>
                <w:tab w:val="left" w:pos="620"/>
                <w:tab w:val="left" w:pos="1574"/>
              </w:tabs>
              <w:jc w:val="center"/>
              <w:rPr>
                <w:color w:val="EEECE1" w:themeColor="background2"/>
                <w:sz w:val="14"/>
              </w:rPr>
            </w:pPr>
            <w:r>
              <w:rPr>
                <w:color w:val="EEECE1" w:themeColor="background2"/>
                <w:sz w:val="2"/>
              </w:rPr>
              <w:t>0</w:t>
            </w:r>
          </w:p>
          <w:p w:rsidR="00C72A51" w:rsidRPr="00C7143B" w:rsidRDefault="00C72A51" w:rsidP="00C72A51">
            <w:pPr>
              <w:tabs>
                <w:tab w:val="left" w:pos="620"/>
                <w:tab w:val="left" w:pos="1574"/>
              </w:tabs>
              <w:rPr>
                <w:b/>
              </w:rPr>
            </w:pPr>
          </w:p>
        </w:tc>
      </w:tr>
    </w:tbl>
    <w:p w:rsidR="004A7155" w:rsidRPr="00542A3F" w:rsidRDefault="00542A3F" w:rsidP="004A7155">
      <w:pPr>
        <w:spacing w:line="240" w:lineRule="auto"/>
        <w:rPr>
          <w:b/>
          <w:sz w:val="32"/>
          <w:szCs w:val="32"/>
        </w:rPr>
      </w:pPr>
      <w:r w:rsidRPr="00542A3F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</w:t>
      </w:r>
      <w:r w:rsidRPr="00542A3F">
        <w:rPr>
          <w:sz w:val="32"/>
          <w:szCs w:val="32"/>
        </w:rPr>
        <w:t xml:space="preserve">    </w:t>
      </w:r>
      <w:r w:rsidRPr="00542A3F">
        <w:rPr>
          <w:b/>
          <w:sz w:val="32"/>
          <w:szCs w:val="32"/>
        </w:rPr>
        <w:t>O300-5876986</w:t>
      </w:r>
    </w:p>
    <w:sectPr w:rsidR="004A7155" w:rsidRPr="00542A3F" w:rsidSect="008821E2">
      <w:pgSz w:w="12240" w:h="15840"/>
      <w:pgMar w:top="810" w:right="135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1F" w:rsidRDefault="00BE701F" w:rsidP="008D2BE1">
      <w:pPr>
        <w:spacing w:after="0" w:line="240" w:lineRule="auto"/>
      </w:pPr>
      <w:r>
        <w:separator/>
      </w:r>
    </w:p>
  </w:endnote>
  <w:endnote w:type="continuationSeparator" w:id="1">
    <w:p w:rsidR="00BE701F" w:rsidRDefault="00BE701F" w:rsidP="008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1F" w:rsidRDefault="00BE701F" w:rsidP="008D2BE1">
      <w:pPr>
        <w:spacing w:after="0" w:line="240" w:lineRule="auto"/>
      </w:pPr>
      <w:r>
        <w:separator/>
      </w:r>
    </w:p>
  </w:footnote>
  <w:footnote w:type="continuationSeparator" w:id="1">
    <w:p w:rsidR="00BE701F" w:rsidRDefault="00BE701F" w:rsidP="008D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B2A"/>
    <w:multiLevelType w:val="hybridMultilevel"/>
    <w:tmpl w:val="FA5E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47D0"/>
    <w:multiLevelType w:val="hybridMultilevel"/>
    <w:tmpl w:val="B82E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5FDF"/>
    <w:multiLevelType w:val="hybridMultilevel"/>
    <w:tmpl w:val="784ED458"/>
    <w:lvl w:ilvl="0" w:tplc="D1FAE52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1244"/>
    <w:rsid w:val="00111244"/>
    <w:rsid w:val="00112FEA"/>
    <w:rsid w:val="00173EFC"/>
    <w:rsid w:val="00317BD4"/>
    <w:rsid w:val="0038147B"/>
    <w:rsid w:val="003823E8"/>
    <w:rsid w:val="0044302F"/>
    <w:rsid w:val="004517F7"/>
    <w:rsid w:val="004A7155"/>
    <w:rsid w:val="004B75F2"/>
    <w:rsid w:val="004F639C"/>
    <w:rsid w:val="00521136"/>
    <w:rsid w:val="00542A3F"/>
    <w:rsid w:val="005E4C1A"/>
    <w:rsid w:val="006028CB"/>
    <w:rsid w:val="006E5001"/>
    <w:rsid w:val="00781ADF"/>
    <w:rsid w:val="00787343"/>
    <w:rsid w:val="007D49E0"/>
    <w:rsid w:val="00814F87"/>
    <w:rsid w:val="00850A72"/>
    <w:rsid w:val="008821E2"/>
    <w:rsid w:val="008D2BE1"/>
    <w:rsid w:val="008E016E"/>
    <w:rsid w:val="00912C71"/>
    <w:rsid w:val="00925AB7"/>
    <w:rsid w:val="009E2DEB"/>
    <w:rsid w:val="00A030A3"/>
    <w:rsid w:val="00A35AE5"/>
    <w:rsid w:val="00B46FB7"/>
    <w:rsid w:val="00BE701F"/>
    <w:rsid w:val="00C029EC"/>
    <w:rsid w:val="00C7143B"/>
    <w:rsid w:val="00C71F1C"/>
    <w:rsid w:val="00C72A51"/>
    <w:rsid w:val="00CE69D8"/>
    <w:rsid w:val="00D744C9"/>
    <w:rsid w:val="00E23E8A"/>
    <w:rsid w:val="00E259E7"/>
    <w:rsid w:val="00E5398A"/>
    <w:rsid w:val="00E67100"/>
    <w:rsid w:val="00E8646F"/>
    <w:rsid w:val="00EA0DA1"/>
    <w:rsid w:val="00EB41B0"/>
    <w:rsid w:val="00ED3240"/>
    <w:rsid w:val="00F40ADD"/>
    <w:rsid w:val="00F84A8D"/>
    <w:rsid w:val="00FC5A19"/>
    <w:rsid w:val="00FF3AC6"/>
    <w:rsid w:val="00FF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FC"/>
  </w:style>
  <w:style w:type="paragraph" w:styleId="Heading1">
    <w:name w:val="heading 1"/>
    <w:basedOn w:val="Normal"/>
    <w:next w:val="Normal"/>
    <w:link w:val="Heading1Char"/>
    <w:uiPriority w:val="9"/>
    <w:qFormat/>
    <w:rsid w:val="00317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C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1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D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2BE1"/>
  </w:style>
  <w:style w:type="paragraph" w:styleId="Footer">
    <w:name w:val="footer"/>
    <w:basedOn w:val="Normal"/>
    <w:link w:val="FooterChar"/>
    <w:uiPriority w:val="99"/>
    <w:unhideWhenUsed/>
    <w:rsid w:val="008D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E1"/>
  </w:style>
  <w:style w:type="paragraph" w:styleId="BalloonText">
    <w:name w:val="Balloon Text"/>
    <w:basedOn w:val="Normal"/>
    <w:link w:val="BalloonTextChar"/>
    <w:uiPriority w:val="99"/>
    <w:semiHidden/>
    <w:unhideWhenUsed/>
    <w:rsid w:val="0088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C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1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D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2BE1"/>
  </w:style>
  <w:style w:type="paragraph" w:styleId="Footer">
    <w:name w:val="footer"/>
    <w:basedOn w:val="Normal"/>
    <w:link w:val="FooterChar"/>
    <w:uiPriority w:val="99"/>
    <w:unhideWhenUsed/>
    <w:rsid w:val="008D2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E1"/>
  </w:style>
  <w:style w:type="paragraph" w:styleId="BalloonText">
    <w:name w:val="Balloon Text"/>
    <w:basedOn w:val="Normal"/>
    <w:link w:val="BalloonTextChar"/>
    <w:uiPriority w:val="99"/>
    <w:semiHidden/>
    <w:unhideWhenUsed/>
    <w:rsid w:val="0088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Sajjad</cp:lastModifiedBy>
  <cp:revision>24</cp:revision>
  <cp:lastPrinted>2018-02-13T05:33:00Z</cp:lastPrinted>
  <dcterms:created xsi:type="dcterms:W3CDTF">2016-04-12T04:05:00Z</dcterms:created>
  <dcterms:modified xsi:type="dcterms:W3CDTF">2018-11-30T04:39:00Z</dcterms:modified>
</cp:coreProperties>
</file>